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ind w:firstLine="562" w:firstLineChars="200"/>
        <w:jc w:val="center"/>
        <w:rPr>
          <w:rFonts w:cs="Times New Roman" w:asciiTheme="minorEastAsia" w:hAnsiTheme="minorEastAsia"/>
          <w:b/>
          <w:color w:val="000000" w:themeColor="text1"/>
          <w:kern w:val="0"/>
          <w:sz w:val="28"/>
          <w:szCs w:val="28"/>
        </w:rPr>
      </w:pPr>
      <w:r>
        <w:rPr>
          <w:rFonts w:hint="eastAsia" w:cs="Times New Roman" w:asciiTheme="minorEastAsia" w:hAnsiTheme="minorEastAsia"/>
          <w:b/>
          <w:color w:val="000000" w:themeColor="text1"/>
          <w:kern w:val="0"/>
          <w:sz w:val="28"/>
          <w:szCs w:val="28"/>
        </w:rPr>
        <w:t>统计学院博士学位论文开题报告管理实施细则</w:t>
      </w:r>
    </w:p>
    <w:p>
      <w:pPr>
        <w:widowControl/>
        <w:spacing w:beforeLines="50" w:afterLines="50" w:line="360" w:lineRule="auto"/>
        <w:ind w:firstLine="560" w:firstLineChars="200"/>
        <w:jc w:val="left"/>
        <w:rPr>
          <w:rFonts w:cs="Times New Roman" w:asciiTheme="minorEastAsia" w:hAnsiTheme="minorEastAsia"/>
          <w:b/>
          <w:color w:val="000000" w:themeColor="text1"/>
          <w:kern w:val="0"/>
          <w:sz w:val="28"/>
          <w:szCs w:val="28"/>
        </w:rPr>
      </w:pPr>
      <w:r>
        <w:rPr>
          <w:rFonts w:hint="eastAsia" w:cs="Times New Roman" w:asciiTheme="minorEastAsia" w:hAnsiTheme="minorEastAsia"/>
          <w:color w:val="000000" w:themeColor="text1"/>
          <w:kern w:val="0"/>
          <w:sz w:val="28"/>
          <w:szCs w:val="28"/>
        </w:rPr>
        <w:t>学位论文开题报告是博士研究生学位论文工作的重要环节，是为阐述、审核、确定博士研究生学位论文选题及内容而举行的报告会，旨在监督和保证博士研究生学位论文质量。根据《中国人民大学攻读博士学位研究生学位论文开题报告管理办法》要求，依据学科特点制定《统计学院博士学位论文开题报告管理实施细则》，具体规定如下：</w:t>
      </w:r>
    </w:p>
    <w:p>
      <w:pPr>
        <w:widowControl/>
        <w:spacing w:beforeLines="50" w:afterLines="50" w:line="360" w:lineRule="auto"/>
        <w:ind w:firstLine="562" w:firstLineChars="200"/>
        <w:jc w:val="left"/>
        <w:rPr>
          <w:rFonts w:cs="宋体" w:asciiTheme="minorEastAsia" w:hAnsiTheme="minorEastAsia"/>
          <w:kern w:val="0"/>
          <w:sz w:val="28"/>
          <w:szCs w:val="28"/>
        </w:rPr>
      </w:pPr>
      <w:r>
        <w:rPr>
          <w:rFonts w:hint="eastAsia" w:cs="Times New Roman" w:asciiTheme="minorEastAsia" w:hAnsiTheme="minorEastAsia"/>
          <w:b/>
          <w:color w:val="000000" w:themeColor="text1"/>
          <w:kern w:val="0"/>
          <w:sz w:val="28"/>
          <w:szCs w:val="28"/>
        </w:rPr>
        <w:t>一、学位论文开题报告的时间</w:t>
      </w:r>
    </w:p>
    <w:p>
      <w:pPr>
        <w:widowControl/>
        <w:spacing w:beforeLines="50" w:afterLines="50" w:line="360" w:lineRule="auto"/>
        <w:ind w:firstLine="560" w:firstLineChars="200"/>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博士研究生学科综合考试合格后可进入学位论文开题报告阶段，且综合考试和论文开题不能安排在同一学期。统考博士生（四年制）开题报告时间不得晚于第六学期，具体开题时间由导师安排。</w:t>
      </w:r>
      <w:r>
        <w:rPr>
          <w:rFonts w:hint="eastAsia" w:cs="Times New Roman" w:asciiTheme="minorEastAsia" w:hAnsiTheme="minorEastAsia"/>
          <w:color w:val="000000" w:themeColor="text1"/>
          <w:kern w:val="0"/>
          <w:sz w:val="28"/>
          <w:szCs w:val="28"/>
          <w:lang w:eastAsia="zh-CN"/>
        </w:rPr>
        <w:t>全员</w:t>
      </w:r>
      <w:bookmarkStart w:id="0" w:name="_GoBack"/>
      <w:bookmarkEnd w:id="0"/>
      <w:r>
        <w:rPr>
          <w:rFonts w:hint="eastAsia" w:cs="Times New Roman" w:asciiTheme="minorEastAsia" w:hAnsiTheme="minorEastAsia"/>
          <w:color w:val="000000" w:themeColor="text1"/>
          <w:kern w:val="0"/>
          <w:sz w:val="28"/>
          <w:szCs w:val="28"/>
        </w:rPr>
        <w:t>硕博连读的博士生（五年制）开题报告时间不得晚于第八学期，具体开题时间由导师安排。为保证学位论文写作及答辩质量，博士学位论文开题报告与正式答辩之间应至少间隔一个完整的学期。</w:t>
      </w:r>
    </w:p>
    <w:p>
      <w:pPr>
        <w:widowControl/>
        <w:spacing w:beforeLines="50" w:afterLines="50" w:line="360" w:lineRule="auto"/>
        <w:ind w:firstLine="562" w:firstLineChars="200"/>
        <w:jc w:val="left"/>
        <w:rPr>
          <w:rFonts w:cs="宋体" w:asciiTheme="minorEastAsia" w:hAnsiTheme="minorEastAsia"/>
          <w:kern w:val="0"/>
          <w:sz w:val="28"/>
          <w:szCs w:val="28"/>
        </w:rPr>
      </w:pPr>
      <w:r>
        <w:rPr>
          <w:rFonts w:hint="eastAsia" w:cs="Times New Roman" w:asciiTheme="minorEastAsia" w:hAnsiTheme="minorEastAsia"/>
          <w:b/>
          <w:color w:val="000000" w:themeColor="text1"/>
          <w:kern w:val="0"/>
          <w:sz w:val="28"/>
          <w:szCs w:val="28"/>
        </w:rPr>
        <w:t>二、专家委员会的组成</w:t>
      </w:r>
    </w:p>
    <w:p>
      <w:pPr>
        <w:widowControl/>
        <w:spacing w:beforeLines="50" w:afterLines="50" w:line="360" w:lineRule="auto"/>
        <w:ind w:firstLine="560" w:firstLineChars="200"/>
        <w:jc w:val="left"/>
        <w:rPr>
          <w:rFonts w:cs="宋体" w:asciiTheme="minorEastAsia" w:hAnsiTheme="minorEastAsia"/>
          <w:kern w:val="0"/>
          <w:sz w:val="28"/>
          <w:szCs w:val="28"/>
        </w:rPr>
      </w:pPr>
      <w:r>
        <w:rPr>
          <w:rFonts w:hint="eastAsia" w:cs="Times New Roman" w:asciiTheme="minorEastAsia" w:hAnsiTheme="minorEastAsia"/>
          <w:color w:val="000000" w:themeColor="text1"/>
          <w:kern w:val="0"/>
          <w:sz w:val="28"/>
          <w:szCs w:val="28"/>
        </w:rPr>
        <w:t>学位论文开题报告专家委员会由本学科和相关学科的三至五名教授、副教授（或相当职称的专家）组成。专家委员会主席由教授或相当职称的专家担任。导师可以参加专家委员会，但不能担任专家委员会的主席。</w:t>
      </w:r>
    </w:p>
    <w:p>
      <w:pPr>
        <w:widowControl/>
        <w:spacing w:beforeLines="50" w:afterLines="50" w:line="360" w:lineRule="auto"/>
        <w:ind w:firstLine="562" w:firstLineChars="200"/>
        <w:jc w:val="left"/>
        <w:rPr>
          <w:rFonts w:cs="宋体" w:asciiTheme="minorEastAsia" w:hAnsiTheme="minorEastAsia"/>
          <w:kern w:val="0"/>
          <w:sz w:val="28"/>
          <w:szCs w:val="28"/>
        </w:rPr>
      </w:pPr>
      <w:r>
        <w:rPr>
          <w:rFonts w:hint="eastAsia" w:cs="Times New Roman" w:asciiTheme="minorEastAsia" w:hAnsiTheme="minorEastAsia"/>
          <w:b/>
          <w:color w:val="000000" w:themeColor="text1"/>
          <w:kern w:val="0"/>
          <w:sz w:val="28"/>
          <w:szCs w:val="28"/>
        </w:rPr>
        <w:t>三、学位论文开题报告基本要求</w:t>
      </w:r>
    </w:p>
    <w:p>
      <w:pPr>
        <w:widowControl/>
        <w:spacing w:beforeLines="50" w:afterLines="50" w:line="360" w:lineRule="auto"/>
        <w:ind w:firstLine="560" w:firstLineChars="200"/>
        <w:jc w:val="left"/>
        <w:rPr>
          <w:rFonts w:cs="宋体" w:asciiTheme="minorEastAsia" w:hAnsiTheme="minorEastAsia"/>
          <w:kern w:val="0"/>
          <w:sz w:val="28"/>
          <w:szCs w:val="28"/>
        </w:rPr>
      </w:pPr>
      <w:r>
        <w:rPr>
          <w:rFonts w:hint="eastAsia" w:cs="Times New Roman" w:asciiTheme="minorEastAsia" w:hAnsiTheme="minorEastAsia"/>
          <w:color w:val="000000" w:themeColor="text1"/>
          <w:kern w:val="0"/>
          <w:sz w:val="28"/>
          <w:szCs w:val="28"/>
        </w:rPr>
        <w:t>（一）申请学位论文开题的博士研究生应于开题报告会举行2周前完成《学位论文开题报告书》，并送交开题报告委员会成员审核，以便在开题报告会上进行有效审核和学术评估。</w:t>
      </w:r>
    </w:p>
    <w:p>
      <w:pPr>
        <w:widowControl/>
        <w:spacing w:beforeLines="50" w:afterLines="50" w:line="360" w:lineRule="auto"/>
        <w:ind w:firstLine="560" w:firstLineChars="200"/>
        <w:jc w:val="left"/>
        <w:rPr>
          <w:rFonts w:cs="宋体" w:asciiTheme="minorEastAsia" w:hAnsiTheme="minorEastAsia"/>
          <w:kern w:val="0"/>
          <w:sz w:val="28"/>
          <w:szCs w:val="28"/>
        </w:rPr>
      </w:pPr>
      <w:r>
        <w:rPr>
          <w:rFonts w:hint="eastAsia" w:cs="Times New Roman" w:asciiTheme="minorEastAsia" w:hAnsiTheme="minorEastAsia"/>
          <w:color w:val="000000" w:themeColor="text1"/>
          <w:kern w:val="0"/>
          <w:sz w:val="28"/>
          <w:szCs w:val="28"/>
        </w:rPr>
        <w:t>《学位论文开题报告书》内容主要包括五部分：选题背景，文献综述，对本学科发展的理论、知识、研究视角或其他方面的贡献，论文工作大纲，参考书目。字数不少于6000字，其中文献综述不少于4000字。</w:t>
      </w:r>
    </w:p>
    <w:p>
      <w:pPr>
        <w:widowControl/>
        <w:spacing w:beforeLines="50" w:afterLines="50" w:line="360" w:lineRule="auto"/>
        <w:ind w:firstLine="560" w:firstLineChars="200"/>
        <w:jc w:val="left"/>
        <w:rPr>
          <w:rFonts w:cs="宋体" w:asciiTheme="minorEastAsia" w:hAnsiTheme="minorEastAsia"/>
          <w:kern w:val="0"/>
          <w:sz w:val="28"/>
          <w:szCs w:val="28"/>
        </w:rPr>
      </w:pPr>
      <w:r>
        <w:rPr>
          <w:rFonts w:hint="eastAsia" w:cs="Times New Roman" w:asciiTheme="minorEastAsia" w:hAnsiTheme="minorEastAsia"/>
          <w:color w:val="000000" w:themeColor="text1"/>
          <w:kern w:val="0"/>
          <w:sz w:val="28"/>
          <w:szCs w:val="28"/>
        </w:rPr>
        <w:t>（二）开题报告会设记录员1人，书面认真完整记录整个开题报告情况。</w:t>
      </w:r>
    </w:p>
    <w:p>
      <w:pPr>
        <w:widowControl/>
        <w:spacing w:beforeLines="50" w:afterLines="50" w:line="360" w:lineRule="auto"/>
        <w:ind w:firstLine="560" w:firstLineChars="200"/>
        <w:jc w:val="left"/>
        <w:rPr>
          <w:rFonts w:cs="宋体" w:asciiTheme="minorEastAsia" w:hAnsiTheme="minorEastAsia"/>
          <w:kern w:val="0"/>
          <w:sz w:val="28"/>
          <w:szCs w:val="28"/>
        </w:rPr>
      </w:pPr>
      <w:r>
        <w:rPr>
          <w:rFonts w:hint="eastAsia" w:cs="Times New Roman" w:asciiTheme="minorEastAsia" w:hAnsiTheme="minorEastAsia"/>
          <w:color w:val="000000" w:themeColor="text1"/>
          <w:kern w:val="0"/>
          <w:sz w:val="28"/>
          <w:szCs w:val="28"/>
        </w:rPr>
        <w:t>（三）开题报告委员会对选题依据和研究方案以及国内外研究现状进行审查和提出修改的补充意见，作出决议，填写《中国人民大学攻读博士学位研究生开题报告审核表》(2份原件)。</w:t>
      </w:r>
    </w:p>
    <w:p>
      <w:pPr>
        <w:widowControl/>
        <w:spacing w:beforeLines="50" w:afterLines="50" w:line="360" w:lineRule="auto"/>
        <w:ind w:firstLine="562" w:firstLineChars="200"/>
        <w:jc w:val="left"/>
        <w:rPr>
          <w:rFonts w:cs="宋体" w:asciiTheme="minorEastAsia" w:hAnsiTheme="minorEastAsia"/>
          <w:kern w:val="0"/>
          <w:sz w:val="28"/>
          <w:szCs w:val="28"/>
        </w:rPr>
      </w:pPr>
      <w:r>
        <w:rPr>
          <w:rFonts w:hint="eastAsia" w:cs="Times New Roman" w:asciiTheme="minorEastAsia" w:hAnsiTheme="minorEastAsia"/>
          <w:b/>
          <w:color w:val="000000" w:themeColor="text1"/>
          <w:kern w:val="0"/>
          <w:sz w:val="28"/>
          <w:szCs w:val="28"/>
        </w:rPr>
        <w:t>四、学位论文开题报告成绩评定</w:t>
      </w:r>
    </w:p>
    <w:p>
      <w:pPr>
        <w:widowControl/>
        <w:spacing w:beforeLines="50" w:afterLines="50" w:line="360" w:lineRule="auto"/>
        <w:ind w:firstLine="560" w:firstLineChars="200"/>
        <w:jc w:val="left"/>
        <w:rPr>
          <w:rFonts w:cs="宋体" w:asciiTheme="minorEastAsia" w:hAnsiTheme="minorEastAsia"/>
          <w:kern w:val="0"/>
          <w:sz w:val="28"/>
          <w:szCs w:val="28"/>
        </w:rPr>
      </w:pPr>
      <w:r>
        <w:rPr>
          <w:rFonts w:hint="eastAsia" w:cs="Times New Roman" w:asciiTheme="minorEastAsia" w:hAnsiTheme="minorEastAsia"/>
          <w:color w:val="000000" w:themeColor="text1"/>
          <w:kern w:val="0"/>
          <w:sz w:val="28"/>
          <w:szCs w:val="28"/>
        </w:rPr>
        <w:t>学位论文开题报告审核结果按考评成绩，分为通过、修改后通过和不通过三档。专家教授严格审核，实现开题报告会作为重要培养环节应有的淘汰功能。</w:t>
      </w:r>
    </w:p>
    <w:p>
      <w:pPr>
        <w:widowControl/>
        <w:spacing w:beforeLines="50" w:afterLines="50" w:line="360" w:lineRule="auto"/>
        <w:ind w:firstLine="560" w:firstLineChars="200"/>
        <w:jc w:val="left"/>
        <w:rPr>
          <w:rFonts w:cs="宋体" w:asciiTheme="minorEastAsia" w:hAnsiTheme="minorEastAsia"/>
          <w:kern w:val="0"/>
          <w:sz w:val="28"/>
          <w:szCs w:val="28"/>
        </w:rPr>
      </w:pPr>
      <w:r>
        <w:rPr>
          <w:rFonts w:hint="eastAsia" w:cs="Times New Roman" w:asciiTheme="minorEastAsia" w:hAnsiTheme="minorEastAsia"/>
          <w:color w:val="000000" w:themeColor="text1"/>
          <w:kern w:val="0"/>
          <w:sz w:val="28"/>
          <w:szCs w:val="28"/>
        </w:rPr>
        <w:t>开题报告“通过者（三分之二以上同意）”，可进入学位论文研究写作阶段；开题报告“修改后通过者”，须根据专家委员会的修改意见进行修改补充，经开题报告专家委员会审定通过后，可进入学位论文研究写作阶段；开题报告“不通过者”须重新准备开题报告。</w:t>
      </w:r>
    </w:p>
    <w:p>
      <w:pPr>
        <w:widowControl/>
        <w:spacing w:beforeLines="50" w:afterLines="50" w:line="360" w:lineRule="auto"/>
        <w:ind w:firstLine="562" w:firstLineChars="200"/>
        <w:jc w:val="left"/>
        <w:rPr>
          <w:rFonts w:cs="宋体" w:asciiTheme="minorEastAsia" w:hAnsiTheme="minorEastAsia"/>
          <w:kern w:val="0"/>
          <w:sz w:val="28"/>
          <w:szCs w:val="28"/>
        </w:rPr>
      </w:pPr>
      <w:r>
        <w:rPr>
          <w:rFonts w:hint="eastAsia" w:cs="Times New Roman" w:asciiTheme="minorEastAsia" w:hAnsiTheme="minorEastAsia"/>
          <w:b/>
          <w:color w:val="000000" w:themeColor="text1"/>
          <w:kern w:val="0"/>
          <w:sz w:val="28"/>
          <w:szCs w:val="28"/>
        </w:rPr>
        <w:t>五、开题报告材料的备案和管理</w:t>
      </w:r>
    </w:p>
    <w:p>
      <w:pPr>
        <w:widowControl/>
        <w:spacing w:beforeLines="50" w:afterLines="50" w:line="360" w:lineRule="auto"/>
        <w:ind w:firstLine="560" w:firstLineChars="200"/>
        <w:jc w:val="left"/>
        <w:rPr>
          <w:rFonts w:cs="宋体" w:asciiTheme="minorEastAsia" w:hAnsiTheme="minorEastAsia"/>
          <w:kern w:val="0"/>
          <w:sz w:val="28"/>
          <w:szCs w:val="28"/>
        </w:rPr>
      </w:pPr>
      <w:r>
        <w:rPr>
          <w:rFonts w:hint="eastAsia" w:cs="Times New Roman" w:asciiTheme="minorEastAsia" w:hAnsiTheme="minorEastAsia"/>
          <w:color w:val="000000" w:themeColor="text1"/>
          <w:kern w:val="0"/>
          <w:sz w:val="28"/>
          <w:szCs w:val="28"/>
        </w:rPr>
        <w:t>学位论文开题报告进行后，《中国人民大学攻读博士学位研究生开题报告审核表》由学院教务秘书暂存，博士生毕业时一份存学校科技档案，一份存入学生人事档案。开题报告记录由学院留存至该届学生毕业。</w:t>
      </w:r>
    </w:p>
    <w:p>
      <w:pPr>
        <w:widowControl/>
        <w:spacing w:beforeLines="50" w:afterLines="50" w:line="360" w:lineRule="auto"/>
        <w:ind w:firstLine="560" w:firstLineChars="200"/>
        <w:jc w:val="left"/>
        <w:rPr>
          <w:rFonts w:cs="Times New Roman" w:asciiTheme="minorEastAsia" w:hAnsiTheme="minorEastAsia"/>
          <w:color w:val="000000" w:themeColor="text1"/>
          <w:kern w:val="0"/>
          <w:sz w:val="28"/>
          <w:szCs w:val="28"/>
        </w:rPr>
      </w:pPr>
      <w:r>
        <w:rPr>
          <w:rFonts w:hint="eastAsia" w:cs="Times New Roman" w:asciiTheme="minorEastAsia" w:hAnsiTheme="minorEastAsia"/>
          <w:color w:val="000000" w:themeColor="text1"/>
          <w:kern w:val="0"/>
          <w:sz w:val="28"/>
          <w:szCs w:val="28"/>
        </w:rPr>
        <w:t> </w:t>
      </w:r>
    </w:p>
    <w:p>
      <w:pPr>
        <w:widowControl/>
        <w:spacing w:beforeLines="50" w:afterLines="50" w:line="360" w:lineRule="auto"/>
        <w:ind w:firstLine="560" w:firstLineChars="200"/>
        <w:jc w:val="left"/>
        <w:rPr>
          <w:rFonts w:asciiTheme="minorEastAsia" w:hAnsiTheme="minorEastAsia"/>
          <w:sz w:val="28"/>
          <w:szCs w:val="28"/>
        </w:rPr>
      </w:pPr>
      <w:r>
        <w:rPr>
          <w:rFonts w:hint="eastAsia" w:cs="Times New Roman" w:asciiTheme="minorEastAsia" w:hAnsiTheme="minorEastAsia"/>
          <w:color w:val="000000" w:themeColor="text1"/>
          <w:kern w:val="0"/>
          <w:sz w:val="28"/>
          <w:szCs w:val="28"/>
        </w:rPr>
        <w:t>本实施细则自颁布之日起实施，由统计学院负责解释。</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2698F"/>
    <w:rsid w:val="00017C44"/>
    <w:rsid w:val="0002698F"/>
    <w:rsid w:val="000912C4"/>
    <w:rsid w:val="00095E32"/>
    <w:rsid w:val="0013259F"/>
    <w:rsid w:val="001535F2"/>
    <w:rsid w:val="001563BA"/>
    <w:rsid w:val="001801E7"/>
    <w:rsid w:val="001B7EF1"/>
    <w:rsid w:val="001E4C32"/>
    <w:rsid w:val="002D7CFE"/>
    <w:rsid w:val="003A7408"/>
    <w:rsid w:val="003B5DBC"/>
    <w:rsid w:val="00424851"/>
    <w:rsid w:val="00476B49"/>
    <w:rsid w:val="004A129A"/>
    <w:rsid w:val="004A49D8"/>
    <w:rsid w:val="004A50EB"/>
    <w:rsid w:val="004B4875"/>
    <w:rsid w:val="004F2E1A"/>
    <w:rsid w:val="00531056"/>
    <w:rsid w:val="005B57AB"/>
    <w:rsid w:val="006A69D9"/>
    <w:rsid w:val="006F0C7D"/>
    <w:rsid w:val="00727971"/>
    <w:rsid w:val="007430F2"/>
    <w:rsid w:val="007550E9"/>
    <w:rsid w:val="007717B9"/>
    <w:rsid w:val="007B21DB"/>
    <w:rsid w:val="0083564D"/>
    <w:rsid w:val="00835CFA"/>
    <w:rsid w:val="008371D8"/>
    <w:rsid w:val="008B70DC"/>
    <w:rsid w:val="00957985"/>
    <w:rsid w:val="00964755"/>
    <w:rsid w:val="009F3787"/>
    <w:rsid w:val="009F3D4E"/>
    <w:rsid w:val="00A60463"/>
    <w:rsid w:val="00A63800"/>
    <w:rsid w:val="00A84A1B"/>
    <w:rsid w:val="00AE59D6"/>
    <w:rsid w:val="00AF2D2A"/>
    <w:rsid w:val="00B239B1"/>
    <w:rsid w:val="00B245F8"/>
    <w:rsid w:val="00B25239"/>
    <w:rsid w:val="00B34C97"/>
    <w:rsid w:val="00BF58F7"/>
    <w:rsid w:val="00C013C0"/>
    <w:rsid w:val="00C44F9B"/>
    <w:rsid w:val="00C601C8"/>
    <w:rsid w:val="00C82F8C"/>
    <w:rsid w:val="00CB7B3C"/>
    <w:rsid w:val="00D079A8"/>
    <w:rsid w:val="00D15ACC"/>
    <w:rsid w:val="00D20698"/>
    <w:rsid w:val="00D2793A"/>
    <w:rsid w:val="00D3285D"/>
    <w:rsid w:val="00D421F5"/>
    <w:rsid w:val="00D45BD6"/>
    <w:rsid w:val="00D810A9"/>
    <w:rsid w:val="00D86C10"/>
    <w:rsid w:val="00DE07E5"/>
    <w:rsid w:val="00E33594"/>
    <w:rsid w:val="00E3402F"/>
    <w:rsid w:val="00E41F47"/>
    <w:rsid w:val="00E66946"/>
    <w:rsid w:val="00E671FF"/>
    <w:rsid w:val="00F07210"/>
    <w:rsid w:val="00F95E38"/>
    <w:rsid w:val="00FA2A71"/>
    <w:rsid w:val="025605E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1"/>
    <w:unhideWhenUsed/>
    <w:qFormat/>
    <w:uiPriority w:val="99"/>
    <w:rPr>
      <w:b/>
      <w:bCs/>
    </w:rPr>
  </w:style>
  <w:style w:type="paragraph" w:styleId="3">
    <w:name w:val="annotation text"/>
    <w:basedOn w:val="1"/>
    <w:link w:val="10"/>
    <w:unhideWhenUsed/>
    <w:uiPriority w:val="99"/>
    <w:pPr>
      <w:jc w:val="left"/>
    </w:pPr>
  </w:style>
  <w:style w:type="paragraph" w:styleId="4">
    <w:name w:val="Balloon Text"/>
    <w:basedOn w:val="1"/>
    <w:link w:val="12"/>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uiPriority w:val="99"/>
    <w:rPr>
      <w:sz w:val="21"/>
      <w:szCs w:val="21"/>
    </w:rPr>
  </w:style>
  <w:style w:type="character" w:customStyle="1" w:styleId="10">
    <w:name w:val="批注文字 Char"/>
    <w:basedOn w:val="7"/>
    <w:link w:val="3"/>
    <w:semiHidden/>
    <w:qFormat/>
    <w:uiPriority w:val="99"/>
  </w:style>
  <w:style w:type="character" w:customStyle="1" w:styleId="11">
    <w:name w:val="批注主题 Char"/>
    <w:basedOn w:val="10"/>
    <w:link w:val="2"/>
    <w:semiHidden/>
    <w:uiPriority w:val="99"/>
    <w:rPr>
      <w:b/>
      <w:bCs/>
    </w:rPr>
  </w:style>
  <w:style w:type="character" w:customStyle="1" w:styleId="12">
    <w:name w:val="批注框文本 Char"/>
    <w:basedOn w:val="7"/>
    <w:link w:val="4"/>
    <w:semiHidden/>
    <w:qFormat/>
    <w:uiPriority w:val="99"/>
    <w:rPr>
      <w:sz w:val="18"/>
      <w:szCs w:val="18"/>
    </w:rPr>
  </w:style>
  <w:style w:type="character" w:customStyle="1" w:styleId="13">
    <w:name w:val="页眉 Char"/>
    <w:basedOn w:val="7"/>
    <w:link w:val="6"/>
    <w:qFormat/>
    <w:uiPriority w:val="99"/>
    <w:rPr>
      <w:sz w:val="18"/>
      <w:szCs w:val="18"/>
    </w:rPr>
  </w:style>
  <w:style w:type="character" w:customStyle="1" w:styleId="14">
    <w:name w:val="页脚 Char"/>
    <w:basedOn w:val="7"/>
    <w:link w:val="5"/>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164</Words>
  <Characters>940</Characters>
  <Lines>7</Lines>
  <Paragraphs>2</Paragraphs>
  <TotalTime>0</TotalTime>
  <ScaleCrop>false</ScaleCrop>
  <LinksUpToDate>false</LinksUpToDate>
  <CharactersWithSpaces>1102</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2015-10-15T08:15:00Z</dcterms:created>
  <dc:creator>koala</dc:creator>
  <cp:lastModifiedBy>koala</cp:lastModifiedBy>
  <cp:lastPrinted>2015-10-15T11:31:00Z</cp:lastPrinted>
  <dcterms:modified xsi:type="dcterms:W3CDTF">2016-07-05T02:57:20Z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