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rPr>
      </w:pPr>
      <w:r>
        <w:rPr>
          <w:rFonts w:hint="eastAsia"/>
          <w:b/>
          <w:sz w:val="28"/>
        </w:rPr>
        <w:t>统计学院</w:t>
      </w:r>
      <w:r>
        <w:rPr>
          <w:b/>
          <w:sz w:val="28"/>
        </w:rPr>
        <w:t>博士学位论文预答辩</w:t>
      </w:r>
      <w:r>
        <w:rPr>
          <w:rFonts w:hint="eastAsia"/>
          <w:b/>
          <w:sz w:val="28"/>
        </w:rPr>
        <w:t>实施细则</w:t>
      </w:r>
    </w:p>
    <w:p>
      <w:pPr>
        <w:rPr>
          <w:sz w:val="28"/>
        </w:rPr>
      </w:pPr>
    </w:p>
    <w:p>
      <w:pPr>
        <w:ind w:firstLine="560" w:firstLineChars="200"/>
        <w:rPr>
          <w:sz w:val="28"/>
        </w:rPr>
      </w:pPr>
      <w:r>
        <w:rPr>
          <w:rFonts w:hint="eastAsia"/>
          <w:sz w:val="28"/>
        </w:rPr>
        <w:t>为进一步规范博士研究生培养，提高我校博士学位论文水平和博士学位授予质量，根据《中国人民大学博士学位论文预答辩暂行规定》，结合本学科特点制定《统计学院博士学位论文预答辩实施细则》，具体规定如下：</w:t>
      </w:r>
    </w:p>
    <w:p>
      <w:pPr>
        <w:pStyle w:val="10"/>
        <w:numPr>
          <w:ilvl w:val="0"/>
          <w:numId w:val="1"/>
        </w:numPr>
        <w:ind w:firstLine="562"/>
        <w:rPr>
          <w:b/>
          <w:sz w:val="28"/>
        </w:rPr>
      </w:pPr>
      <w:r>
        <w:rPr>
          <w:rFonts w:hint="eastAsia"/>
          <w:b/>
          <w:sz w:val="28"/>
        </w:rPr>
        <w:t>时间要求</w:t>
      </w:r>
    </w:p>
    <w:p>
      <w:pPr>
        <w:pStyle w:val="10"/>
        <w:ind w:left="420" w:firstLine="560"/>
        <w:rPr>
          <w:sz w:val="28"/>
        </w:rPr>
      </w:pPr>
      <w:r>
        <w:rPr>
          <w:rFonts w:hint="eastAsia"/>
          <w:sz w:val="28"/>
        </w:rPr>
        <w:t>凡攻读我院博士学位的研究生，正式申请博士学位前须参加博士学位论文预答辩。</w:t>
      </w:r>
    </w:p>
    <w:p>
      <w:pPr>
        <w:pStyle w:val="10"/>
        <w:ind w:left="420" w:firstLine="560"/>
        <w:rPr>
          <w:sz w:val="28"/>
        </w:rPr>
      </w:pPr>
      <w:r>
        <w:rPr>
          <w:rFonts w:hint="eastAsia"/>
          <w:sz w:val="28"/>
        </w:rPr>
        <w:t>博士研究生一般应在正式答辩前一个学期完成论文预答辩（即统考博士生在第七学期完成，硕博连读的博士生在第九学期完成），留存相应时间完成论文修改等工作。</w:t>
      </w:r>
    </w:p>
    <w:p>
      <w:pPr>
        <w:pStyle w:val="10"/>
        <w:numPr>
          <w:ilvl w:val="0"/>
          <w:numId w:val="1"/>
        </w:numPr>
        <w:ind w:firstLine="562"/>
        <w:rPr>
          <w:b/>
          <w:sz w:val="28"/>
        </w:rPr>
      </w:pPr>
      <w:r>
        <w:rPr>
          <w:rFonts w:hint="eastAsia"/>
          <w:b/>
          <w:sz w:val="28"/>
        </w:rPr>
        <w:t>申请博士学位论文预答辩应具备的基本条件</w:t>
      </w:r>
    </w:p>
    <w:p>
      <w:pPr>
        <w:pStyle w:val="10"/>
        <w:numPr>
          <w:ilvl w:val="0"/>
          <w:numId w:val="2"/>
        </w:numPr>
        <w:ind w:firstLine="560"/>
        <w:rPr>
          <w:sz w:val="28"/>
        </w:rPr>
      </w:pPr>
      <w:r>
        <w:rPr>
          <w:rFonts w:hint="eastAsia"/>
          <w:sz w:val="28"/>
        </w:rPr>
        <w:t>已完成博士研究生个人培养计划规定的全部内容，并经审查合格的。</w:t>
      </w:r>
    </w:p>
    <w:p>
      <w:pPr>
        <w:pStyle w:val="10"/>
        <w:numPr>
          <w:ilvl w:val="0"/>
          <w:numId w:val="2"/>
        </w:numPr>
        <w:ind w:firstLine="560"/>
        <w:rPr>
          <w:sz w:val="28"/>
        </w:rPr>
      </w:pPr>
      <w:r>
        <w:rPr>
          <w:rFonts w:hint="eastAsia"/>
          <w:sz w:val="28"/>
        </w:rPr>
        <w:t>博士学位论文已修改定稿，并被导师推荐参加预答辩的。</w:t>
      </w:r>
    </w:p>
    <w:p>
      <w:pPr>
        <w:pStyle w:val="10"/>
        <w:numPr>
          <w:ilvl w:val="0"/>
          <w:numId w:val="1"/>
        </w:numPr>
        <w:ind w:firstLine="562"/>
        <w:rPr>
          <w:b/>
          <w:sz w:val="28"/>
        </w:rPr>
      </w:pPr>
      <w:r>
        <w:rPr>
          <w:rFonts w:hint="eastAsia"/>
          <w:b/>
          <w:sz w:val="28"/>
        </w:rPr>
        <w:t>博士学位论文预答辩组织程序</w:t>
      </w:r>
    </w:p>
    <w:p>
      <w:pPr>
        <w:pStyle w:val="10"/>
        <w:numPr>
          <w:ilvl w:val="0"/>
          <w:numId w:val="3"/>
        </w:numPr>
        <w:ind w:firstLine="560"/>
        <w:rPr>
          <w:sz w:val="28"/>
        </w:rPr>
      </w:pPr>
      <w:r>
        <w:rPr>
          <w:rFonts w:hint="eastAsia"/>
          <w:sz w:val="28"/>
        </w:rPr>
        <w:t>博士学位论文预答辩由导师自行组织，答辩场地原则上应安排在校内，现场答辩形式，预答辩时间不少于2个小时，答辩秘书（一般为博士研究生）认真填写预答辩情况表（</w:t>
      </w:r>
      <w:r>
        <w:rPr>
          <w:rFonts w:hint="eastAsia"/>
          <w:sz w:val="28"/>
          <w:lang w:eastAsia="zh-CN"/>
        </w:rPr>
        <w:t>从文件专区下载</w:t>
      </w:r>
      <w:bookmarkStart w:id="0" w:name="_GoBack"/>
      <w:bookmarkEnd w:id="0"/>
      <w:r>
        <w:rPr>
          <w:rFonts w:hint="eastAsia"/>
          <w:sz w:val="28"/>
        </w:rPr>
        <w:t>）。</w:t>
      </w:r>
    </w:p>
    <w:p>
      <w:pPr>
        <w:pStyle w:val="10"/>
        <w:numPr>
          <w:ilvl w:val="0"/>
          <w:numId w:val="3"/>
        </w:numPr>
        <w:ind w:firstLine="560"/>
        <w:rPr>
          <w:sz w:val="28"/>
        </w:rPr>
      </w:pPr>
      <w:r>
        <w:rPr>
          <w:rFonts w:hint="eastAsia"/>
          <w:sz w:val="28"/>
        </w:rPr>
        <w:t>预答辩专家小组成员应不少于3人，由本学科和相关学科教授、副教授或具有博士学位的讲师组成。论文指导教师</w:t>
      </w:r>
      <w:r>
        <w:rPr>
          <w:rFonts w:hint="eastAsia"/>
          <w:b/>
          <w:sz w:val="28"/>
        </w:rPr>
        <w:t>必须参加</w:t>
      </w:r>
      <w:r>
        <w:rPr>
          <w:rFonts w:hint="eastAsia"/>
          <w:sz w:val="28"/>
        </w:rPr>
        <w:t>预答辩会议。</w:t>
      </w:r>
    </w:p>
    <w:p>
      <w:pPr>
        <w:pStyle w:val="10"/>
        <w:numPr>
          <w:ilvl w:val="0"/>
          <w:numId w:val="3"/>
        </w:numPr>
        <w:ind w:firstLine="560"/>
        <w:rPr>
          <w:sz w:val="28"/>
        </w:rPr>
      </w:pPr>
      <w:r>
        <w:rPr>
          <w:rFonts w:hint="eastAsia"/>
          <w:sz w:val="28"/>
        </w:rPr>
        <w:t>预答辩专家小组应全面审查博士学位论文的规范性和创新点，经充分讨论后对论文做出综合评价，提出修改意见和建议，并作出“预答辩通过”或“预答辩未通过”的结论，并在《预答辩申请表》亲笔签字。</w:t>
      </w:r>
    </w:p>
    <w:p>
      <w:pPr>
        <w:pStyle w:val="10"/>
        <w:numPr>
          <w:ilvl w:val="0"/>
          <w:numId w:val="3"/>
        </w:numPr>
        <w:ind w:firstLineChars="0"/>
        <w:rPr>
          <w:sz w:val="28"/>
        </w:rPr>
      </w:pPr>
      <w:r>
        <w:rPr>
          <w:rFonts w:hint="eastAsia"/>
          <w:sz w:val="28"/>
        </w:rPr>
        <w:t>在申请博士学位论文答辩前，由预答辩学生将内容完整的《预答辩申请表》交给学院研究生教务秘书，学院留存。</w:t>
      </w:r>
    </w:p>
    <w:p>
      <w:pPr>
        <w:pStyle w:val="10"/>
        <w:numPr>
          <w:ilvl w:val="0"/>
          <w:numId w:val="1"/>
        </w:numPr>
        <w:ind w:firstLine="562"/>
        <w:rPr>
          <w:b/>
          <w:sz w:val="28"/>
        </w:rPr>
      </w:pPr>
      <w:r>
        <w:rPr>
          <w:rFonts w:hint="eastAsia"/>
          <w:b/>
          <w:sz w:val="28"/>
        </w:rPr>
        <w:t>预答辩结果处理</w:t>
      </w:r>
    </w:p>
    <w:p>
      <w:pPr>
        <w:pStyle w:val="10"/>
        <w:numPr>
          <w:ilvl w:val="0"/>
          <w:numId w:val="4"/>
        </w:numPr>
        <w:ind w:firstLine="560"/>
        <w:rPr>
          <w:sz w:val="28"/>
        </w:rPr>
      </w:pPr>
      <w:r>
        <w:rPr>
          <w:rFonts w:hint="eastAsia"/>
          <w:sz w:val="28"/>
        </w:rPr>
        <w:t>已通过博士学位论文预答辩的博士研究生，应依据学校规定的程序申请博士学位论文答辩。</w:t>
      </w:r>
    </w:p>
    <w:p>
      <w:pPr>
        <w:pStyle w:val="10"/>
        <w:numPr>
          <w:ilvl w:val="0"/>
          <w:numId w:val="4"/>
        </w:numPr>
        <w:ind w:firstLine="560"/>
        <w:rPr>
          <w:sz w:val="28"/>
        </w:rPr>
      </w:pPr>
      <w:r>
        <w:rPr>
          <w:rFonts w:hint="eastAsia"/>
          <w:sz w:val="28"/>
        </w:rPr>
        <w:t>对预答辩未通过的博士学位论文，申请人应根据参加预答辩的专家和导师意见对论文做相应修改，半年后可再次提出预答辩申请。预答辩未通过的论文不能进入正式答辩。</w:t>
      </w:r>
    </w:p>
    <w:p>
      <w:pPr>
        <w:pStyle w:val="10"/>
        <w:numPr>
          <w:ilvl w:val="0"/>
          <w:numId w:val="4"/>
        </w:numPr>
        <w:ind w:firstLine="560"/>
        <w:rPr>
          <w:sz w:val="28"/>
        </w:rPr>
      </w:pPr>
      <w:r>
        <w:rPr>
          <w:rFonts w:hint="eastAsia"/>
          <w:sz w:val="28"/>
        </w:rPr>
        <w:t>对预答辩的相关情况应在博士学位论文正式答辩会上向答辩委员会进行说明。</w:t>
      </w:r>
    </w:p>
    <w:p>
      <w:pPr>
        <w:pStyle w:val="10"/>
        <w:numPr>
          <w:ilvl w:val="0"/>
          <w:numId w:val="4"/>
        </w:numPr>
        <w:ind w:firstLine="560"/>
        <w:rPr>
          <w:sz w:val="28"/>
        </w:rPr>
      </w:pPr>
      <w:r>
        <w:rPr>
          <w:rFonts w:hint="eastAsia"/>
          <w:sz w:val="28"/>
        </w:rPr>
        <w:t>此规定由统计学院负责解释。</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355"/>
    <w:multiLevelType w:val="multilevel"/>
    <w:tmpl w:val="02F0535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12E48AC"/>
    <w:multiLevelType w:val="multilevel"/>
    <w:tmpl w:val="112E48AC"/>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F455E4"/>
    <w:multiLevelType w:val="multilevel"/>
    <w:tmpl w:val="20F455E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49C25B6"/>
    <w:multiLevelType w:val="multilevel"/>
    <w:tmpl w:val="249C25B6"/>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286A"/>
    <w:rsid w:val="00005FB4"/>
    <w:rsid w:val="00006432"/>
    <w:rsid w:val="000B513E"/>
    <w:rsid w:val="003D02BF"/>
    <w:rsid w:val="004F5D93"/>
    <w:rsid w:val="0055790C"/>
    <w:rsid w:val="005B26AF"/>
    <w:rsid w:val="0061286A"/>
    <w:rsid w:val="0065516A"/>
    <w:rsid w:val="00661774"/>
    <w:rsid w:val="006C66A3"/>
    <w:rsid w:val="006D371B"/>
    <w:rsid w:val="006F4C32"/>
    <w:rsid w:val="007450C5"/>
    <w:rsid w:val="00777E7E"/>
    <w:rsid w:val="00787C14"/>
    <w:rsid w:val="008B2ED2"/>
    <w:rsid w:val="00A2651F"/>
    <w:rsid w:val="00A719C8"/>
    <w:rsid w:val="00A92636"/>
    <w:rsid w:val="00AB6CB5"/>
    <w:rsid w:val="00AC2613"/>
    <w:rsid w:val="00AE347B"/>
    <w:rsid w:val="00C5287C"/>
    <w:rsid w:val="00EC6CEB"/>
    <w:rsid w:val="39330D3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2"/>
    <w:unhideWhenUsed/>
    <w:qFormat/>
    <w:uiPriority w:val="99"/>
    <w:rPr>
      <w:b/>
      <w:bCs/>
    </w:rPr>
  </w:style>
  <w:style w:type="paragraph" w:styleId="3">
    <w:name w:val="annotation text"/>
    <w:basedOn w:val="1"/>
    <w:link w:val="11"/>
    <w:unhideWhenUsed/>
    <w:uiPriority w:val="99"/>
    <w:pPr>
      <w:jc w:val="left"/>
    </w:pPr>
  </w:style>
  <w:style w:type="paragraph" w:styleId="4">
    <w:name w:val="Balloon Text"/>
    <w:basedOn w:val="1"/>
    <w:link w:val="13"/>
    <w:unhideWhenUsed/>
    <w:qFormat/>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uiPriority w:val="99"/>
    <w:rPr>
      <w:sz w:val="21"/>
      <w:szCs w:val="21"/>
    </w:rPr>
  </w:style>
  <w:style w:type="paragraph" w:customStyle="1" w:styleId="10">
    <w:name w:val="List Paragraph"/>
    <w:basedOn w:val="1"/>
    <w:qFormat/>
    <w:uiPriority w:val="34"/>
    <w:pPr>
      <w:ind w:firstLine="420" w:firstLineChars="200"/>
    </w:pPr>
  </w:style>
  <w:style w:type="character" w:customStyle="1" w:styleId="11">
    <w:name w:val="批注文字 Char"/>
    <w:basedOn w:val="7"/>
    <w:link w:val="3"/>
    <w:semiHidden/>
    <w:uiPriority w:val="99"/>
  </w:style>
  <w:style w:type="character" w:customStyle="1" w:styleId="12">
    <w:name w:val="批注主题 Char"/>
    <w:basedOn w:val="11"/>
    <w:link w:val="2"/>
    <w:semiHidden/>
    <w:qFormat/>
    <w:uiPriority w:val="99"/>
    <w:rPr>
      <w:b/>
      <w:bCs/>
    </w:rPr>
  </w:style>
  <w:style w:type="character" w:customStyle="1" w:styleId="13">
    <w:name w:val="批注框文本 Char"/>
    <w:basedOn w:val="7"/>
    <w:link w:val="4"/>
    <w:semiHidden/>
    <w:uiPriority w:val="99"/>
    <w:rPr>
      <w:sz w:val="18"/>
      <w:szCs w:val="18"/>
    </w:rPr>
  </w:style>
  <w:style w:type="character" w:customStyle="1" w:styleId="14">
    <w:name w:val="页眉 Char"/>
    <w:basedOn w:val="7"/>
    <w:link w:val="6"/>
    <w:qFormat/>
    <w:uiPriority w:val="99"/>
    <w:rPr>
      <w:sz w:val="18"/>
      <w:szCs w:val="18"/>
    </w:rPr>
  </w:style>
  <w:style w:type="character" w:customStyle="1" w:styleId="15">
    <w:name w:val="页脚 Char"/>
    <w:basedOn w:val="7"/>
    <w:link w:val="5"/>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116</Words>
  <Characters>667</Characters>
  <Lines>5</Lines>
  <Paragraphs>1</Paragraphs>
  <TotalTime>0</TotalTime>
  <ScaleCrop>false</ScaleCrop>
  <LinksUpToDate>false</LinksUpToDate>
  <CharactersWithSpaces>782</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2015-10-18T13:24:00Z</dcterms:created>
  <dc:creator>koala</dc:creator>
  <cp:lastModifiedBy>koala</cp:lastModifiedBy>
  <dcterms:modified xsi:type="dcterms:W3CDTF">2016-07-05T02:58:04Z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